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51A" w:rsidRDefault="00586379">
      <w:pPr>
        <w:widowControl/>
        <w:rPr>
          <w:rFonts w:ascii="宋体" w:eastAsia="宋体" w:hAnsi="宋体" w:cs="宋体"/>
          <w:b/>
          <w:bCs/>
          <w:kern w:val="0"/>
          <w:sz w:val="44"/>
          <w:szCs w:val="44"/>
          <w:lang/>
        </w:rPr>
      </w:pPr>
      <w:r>
        <w:rPr>
          <w:rFonts w:ascii="宋体" w:eastAsia="宋体" w:hAnsi="宋体" w:cs="宋体" w:hint="eastAsia"/>
          <w:b/>
          <w:bCs/>
          <w:kern w:val="0"/>
          <w:sz w:val="44"/>
          <w:szCs w:val="44"/>
          <w:lang/>
        </w:rPr>
        <w:t xml:space="preserve"> </w:t>
      </w:r>
      <w:r w:rsidR="00751A9B">
        <w:rPr>
          <w:rFonts w:ascii="宋体" w:eastAsia="宋体" w:hAnsi="宋体" w:cs="宋体" w:hint="eastAsia"/>
          <w:b/>
          <w:bCs/>
          <w:kern w:val="0"/>
          <w:sz w:val="44"/>
          <w:szCs w:val="44"/>
          <w:lang/>
        </w:rPr>
        <w:t>附件：</w:t>
      </w:r>
    </w:p>
    <w:p w:rsidR="007C351A" w:rsidRDefault="00E91623" w:rsidP="001D7475">
      <w:pPr>
        <w:widowControl/>
        <w:jc w:val="center"/>
        <w:rPr>
          <w:b/>
          <w:bCs/>
          <w:sz w:val="44"/>
          <w:szCs w:val="44"/>
        </w:rPr>
      </w:pPr>
      <w:bookmarkStart w:id="0" w:name="_GoBack"/>
      <w:r>
        <w:rPr>
          <w:rFonts w:ascii="宋体" w:eastAsia="宋体" w:hAnsi="宋体" w:cs="宋体" w:hint="eastAsia"/>
          <w:b/>
          <w:bCs/>
          <w:kern w:val="0"/>
          <w:sz w:val="44"/>
          <w:szCs w:val="44"/>
          <w:lang/>
        </w:rPr>
        <w:t>钦州市</w:t>
      </w:r>
      <w:r w:rsidR="00586379">
        <w:rPr>
          <w:rFonts w:ascii="宋体" w:eastAsia="宋体" w:hAnsi="宋体" w:cs="宋体"/>
          <w:b/>
          <w:bCs/>
          <w:kern w:val="0"/>
          <w:sz w:val="44"/>
          <w:szCs w:val="44"/>
          <w:lang/>
        </w:rPr>
        <w:t>审计局重大执法决定法制审核事项清单</w:t>
      </w:r>
    </w:p>
    <w:bookmarkEnd w:id="0"/>
    <w:p w:rsidR="007C351A" w:rsidRDefault="007C351A">
      <w:pPr>
        <w:widowControl/>
        <w:jc w:val="center"/>
        <w:rPr>
          <w:b/>
          <w:bCs/>
          <w:sz w:val="44"/>
          <w:szCs w:val="44"/>
        </w:rPr>
      </w:pPr>
    </w:p>
    <w:tbl>
      <w:tblPr>
        <w:tblW w:w="14039" w:type="dxa"/>
        <w:tblCellSpacing w:w="0" w:type="dxa"/>
        <w:tblInd w:w="350" w:type="dxa"/>
        <w:tblLayout w:type="fixed"/>
        <w:tblCellMar>
          <w:left w:w="0" w:type="dxa"/>
          <w:right w:w="0" w:type="dxa"/>
        </w:tblCellMar>
        <w:tblLook w:val="04A0"/>
      </w:tblPr>
      <w:tblGrid>
        <w:gridCol w:w="14039"/>
      </w:tblGrid>
      <w:tr w:rsidR="007C351A">
        <w:trPr>
          <w:trHeight w:val="6000"/>
          <w:tblCellSpacing w:w="0" w:type="dxa"/>
        </w:trPr>
        <w:tc>
          <w:tcPr>
            <w:tcW w:w="14039" w:type="dxa"/>
            <w:shd w:val="clear" w:color="auto" w:fill="auto"/>
          </w:tcPr>
          <w:tbl>
            <w:tblPr>
              <w:tblW w:w="13095" w:type="dxa"/>
              <w:tblLayout w:type="fixed"/>
              <w:tblCellMar>
                <w:top w:w="15" w:type="dxa"/>
                <w:left w:w="15" w:type="dxa"/>
                <w:bottom w:w="15" w:type="dxa"/>
                <w:right w:w="15" w:type="dxa"/>
              </w:tblCellMar>
              <w:tblLook w:val="04A0"/>
            </w:tblPr>
            <w:tblGrid>
              <w:gridCol w:w="1190"/>
              <w:gridCol w:w="1425"/>
              <w:gridCol w:w="6570"/>
              <w:gridCol w:w="3910"/>
            </w:tblGrid>
            <w:tr w:rsidR="007C351A">
              <w:trPr>
                <w:trHeight w:val="540"/>
              </w:trPr>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center"/>
                    <w:textAlignment w:val="center"/>
                    <w:rPr>
                      <w:b/>
                      <w:color w:val="000000"/>
                      <w:sz w:val="24"/>
                    </w:rPr>
                  </w:pPr>
                  <w:r>
                    <w:rPr>
                      <w:rFonts w:ascii="宋体" w:eastAsia="宋体" w:hAnsi="宋体" w:cs="宋体"/>
                      <w:b/>
                      <w:color w:val="000000"/>
                      <w:kern w:val="0"/>
                      <w:sz w:val="24"/>
                      <w:lang/>
                    </w:rPr>
                    <w:t>序号</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center"/>
                    <w:textAlignment w:val="center"/>
                    <w:rPr>
                      <w:b/>
                      <w:color w:val="000000"/>
                      <w:sz w:val="24"/>
                    </w:rPr>
                  </w:pPr>
                  <w:r>
                    <w:rPr>
                      <w:rFonts w:ascii="宋体" w:eastAsia="宋体" w:hAnsi="宋体" w:cs="宋体"/>
                      <w:b/>
                      <w:color w:val="000000"/>
                      <w:kern w:val="0"/>
                      <w:sz w:val="24"/>
                      <w:lang/>
                    </w:rPr>
                    <w:t>类别</w:t>
                  </w: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center"/>
                    <w:textAlignment w:val="center"/>
                    <w:rPr>
                      <w:b/>
                      <w:color w:val="000000"/>
                      <w:sz w:val="24"/>
                    </w:rPr>
                  </w:pPr>
                  <w:r>
                    <w:rPr>
                      <w:rFonts w:ascii="宋体" w:eastAsia="宋体" w:hAnsi="宋体" w:cs="宋体"/>
                      <w:b/>
                      <w:color w:val="000000"/>
                      <w:kern w:val="0"/>
                      <w:sz w:val="24"/>
                      <w:lang/>
                    </w:rPr>
                    <w:t>重大行政执法决定</w:t>
                  </w:r>
                </w:p>
              </w:tc>
              <w:tc>
                <w:tcPr>
                  <w:tcW w:w="3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center"/>
                    <w:textAlignment w:val="center"/>
                    <w:rPr>
                      <w:b/>
                      <w:color w:val="000000"/>
                      <w:sz w:val="24"/>
                    </w:rPr>
                  </w:pPr>
                  <w:r>
                    <w:rPr>
                      <w:rFonts w:ascii="宋体" w:eastAsia="宋体" w:hAnsi="宋体" w:cs="宋体"/>
                      <w:b/>
                      <w:color w:val="000000"/>
                      <w:kern w:val="0"/>
                      <w:sz w:val="24"/>
                      <w:lang/>
                    </w:rPr>
                    <w:t>审核内容</w:t>
                  </w:r>
                </w:p>
              </w:tc>
            </w:tr>
            <w:tr w:rsidR="007C351A">
              <w:trPr>
                <w:trHeight w:val="780"/>
              </w:trPr>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center"/>
                    <w:textAlignment w:val="center"/>
                    <w:rPr>
                      <w:color w:val="000000"/>
                      <w:sz w:val="24"/>
                    </w:rPr>
                  </w:pPr>
                  <w:r>
                    <w:rPr>
                      <w:rFonts w:ascii="宋体" w:eastAsia="宋体" w:hAnsi="宋体" w:cs="宋体"/>
                      <w:color w:val="000000"/>
                      <w:kern w:val="0"/>
                      <w:sz w:val="24"/>
                      <w:lang/>
                    </w:rPr>
                    <w:t>1</w:t>
                  </w: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center"/>
                    <w:textAlignment w:val="center"/>
                    <w:rPr>
                      <w:color w:val="000000"/>
                      <w:sz w:val="24"/>
                    </w:rPr>
                  </w:pPr>
                  <w:r>
                    <w:rPr>
                      <w:rFonts w:ascii="宋体" w:eastAsia="宋体" w:hAnsi="宋体" w:cs="宋体"/>
                      <w:color w:val="000000"/>
                      <w:kern w:val="0"/>
                      <w:sz w:val="24"/>
                      <w:lang/>
                    </w:rPr>
                    <w:t>行政处罚</w:t>
                  </w: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left"/>
                    <w:textAlignment w:val="center"/>
                    <w:rPr>
                      <w:color w:val="000000"/>
                      <w:sz w:val="24"/>
                    </w:rPr>
                  </w:pPr>
                  <w:r>
                    <w:rPr>
                      <w:rFonts w:ascii="宋体" w:eastAsia="宋体" w:hAnsi="宋体" w:cs="宋体"/>
                      <w:color w:val="000000"/>
                      <w:kern w:val="0"/>
                      <w:sz w:val="24"/>
                      <w:lang/>
                    </w:rPr>
                    <w:t>对拒绝、拖延提供与审计事项有关的资料，或者提供的资料不真实、不完整，或者拒绝、阻碍检查的处罚</w:t>
                  </w:r>
                </w:p>
              </w:tc>
              <w:tc>
                <w:tcPr>
                  <w:tcW w:w="39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left"/>
                    <w:textAlignment w:val="center"/>
                    <w:rPr>
                      <w:color w:val="000000"/>
                      <w:sz w:val="24"/>
                    </w:rPr>
                  </w:pPr>
                  <w:r>
                    <w:rPr>
                      <w:rFonts w:ascii="宋体" w:eastAsia="宋体" w:hAnsi="宋体" w:cs="宋体"/>
                      <w:color w:val="000000"/>
                      <w:kern w:val="0"/>
                      <w:sz w:val="24"/>
                      <w:lang/>
                    </w:rPr>
                    <w:t>审计机构主要审核下列内容：</w:t>
                  </w:r>
                  <w:r>
                    <w:rPr>
                      <w:rFonts w:ascii="宋体" w:eastAsia="宋体" w:hAnsi="宋体" w:cs="宋体"/>
                      <w:color w:val="000000"/>
                      <w:kern w:val="0"/>
                      <w:sz w:val="24"/>
                      <w:lang/>
                    </w:rPr>
                    <w:br/>
                  </w:r>
                  <w:r>
                    <w:rPr>
                      <w:rFonts w:ascii="宋体" w:eastAsia="宋体" w:hAnsi="宋体" w:cs="宋体"/>
                      <w:color w:val="000000"/>
                      <w:kern w:val="0"/>
                      <w:sz w:val="24"/>
                      <w:lang/>
                    </w:rPr>
                    <w:t>（一）是否超越本机关执法权限；</w:t>
                  </w:r>
                  <w:r>
                    <w:rPr>
                      <w:rFonts w:ascii="宋体" w:eastAsia="宋体" w:hAnsi="宋体" w:cs="宋体"/>
                      <w:color w:val="000000"/>
                      <w:kern w:val="0"/>
                      <w:sz w:val="24"/>
                      <w:lang/>
                    </w:rPr>
                    <w:br/>
                  </w:r>
                  <w:r>
                    <w:rPr>
                      <w:rFonts w:ascii="宋体" w:eastAsia="宋体" w:hAnsi="宋体" w:cs="宋体"/>
                      <w:color w:val="000000"/>
                      <w:kern w:val="0"/>
                      <w:sz w:val="24"/>
                      <w:lang/>
                    </w:rPr>
                    <w:t>（二）主要事实是否清楚、相关证据是否适当、充分；</w:t>
                  </w:r>
                  <w:r>
                    <w:rPr>
                      <w:rFonts w:ascii="宋体" w:eastAsia="宋体" w:hAnsi="宋体" w:cs="宋体"/>
                      <w:color w:val="000000"/>
                      <w:kern w:val="0"/>
                      <w:sz w:val="24"/>
                      <w:lang/>
                    </w:rPr>
                    <w:br/>
                  </w:r>
                  <w:r>
                    <w:rPr>
                      <w:rFonts w:ascii="宋体" w:eastAsia="宋体" w:hAnsi="宋体" w:cs="宋体"/>
                      <w:color w:val="000000"/>
                      <w:kern w:val="0"/>
                      <w:sz w:val="24"/>
                      <w:lang/>
                    </w:rPr>
                    <w:t>（三）使用法律法规和标准是否适当；</w:t>
                  </w:r>
                  <w:r>
                    <w:rPr>
                      <w:rFonts w:ascii="宋体" w:eastAsia="宋体" w:hAnsi="宋体" w:cs="宋体"/>
                      <w:color w:val="000000"/>
                      <w:kern w:val="0"/>
                      <w:sz w:val="24"/>
                      <w:lang/>
                    </w:rPr>
                    <w:br/>
                  </w:r>
                  <w:r>
                    <w:rPr>
                      <w:rFonts w:ascii="宋体" w:eastAsia="宋体" w:hAnsi="宋体" w:cs="宋体"/>
                      <w:color w:val="000000"/>
                      <w:kern w:val="0"/>
                      <w:sz w:val="24"/>
                      <w:lang/>
                    </w:rPr>
                    <w:t>（四）评价、定性、处理处罚意见是否恰当；</w:t>
                  </w:r>
                  <w:r>
                    <w:rPr>
                      <w:rFonts w:ascii="宋体" w:eastAsia="宋体" w:hAnsi="宋体" w:cs="宋体"/>
                      <w:color w:val="000000"/>
                      <w:kern w:val="0"/>
                      <w:sz w:val="24"/>
                      <w:lang/>
                    </w:rPr>
                    <w:br/>
                  </w:r>
                  <w:r>
                    <w:rPr>
                      <w:rFonts w:ascii="宋体" w:eastAsia="宋体" w:hAnsi="宋体" w:cs="宋体"/>
                      <w:color w:val="000000"/>
                      <w:kern w:val="0"/>
                      <w:sz w:val="24"/>
                      <w:lang/>
                    </w:rPr>
                    <w:t>（五）行政自由裁量权行使是否得当；</w:t>
                  </w:r>
                  <w:r>
                    <w:rPr>
                      <w:rFonts w:ascii="宋体" w:eastAsia="宋体" w:hAnsi="宋体" w:cs="宋体"/>
                      <w:color w:val="000000"/>
                      <w:kern w:val="0"/>
                      <w:sz w:val="24"/>
                      <w:lang/>
                    </w:rPr>
                    <w:br/>
                  </w:r>
                  <w:r>
                    <w:rPr>
                      <w:rFonts w:ascii="宋体" w:eastAsia="宋体" w:hAnsi="宋体" w:cs="宋体"/>
                      <w:color w:val="000000"/>
                      <w:kern w:val="0"/>
                      <w:sz w:val="24"/>
                      <w:lang/>
                    </w:rPr>
                    <w:t>（六）审计程序是否符合规定；</w:t>
                  </w:r>
                  <w:r>
                    <w:rPr>
                      <w:rFonts w:ascii="宋体" w:eastAsia="宋体" w:hAnsi="宋体" w:cs="宋体"/>
                      <w:color w:val="000000"/>
                      <w:kern w:val="0"/>
                      <w:sz w:val="24"/>
                      <w:lang/>
                    </w:rPr>
                    <w:br/>
                  </w:r>
                  <w:r>
                    <w:rPr>
                      <w:rFonts w:ascii="宋体" w:eastAsia="宋体" w:hAnsi="宋体" w:cs="宋体"/>
                      <w:color w:val="000000"/>
                      <w:kern w:val="0"/>
                      <w:sz w:val="24"/>
                      <w:lang/>
                    </w:rPr>
                    <w:t>（七）法律文书制作是否规范；</w:t>
                  </w:r>
                  <w:r>
                    <w:rPr>
                      <w:rFonts w:ascii="宋体" w:eastAsia="宋体" w:hAnsi="宋体" w:cs="宋体"/>
                      <w:color w:val="000000"/>
                      <w:kern w:val="0"/>
                      <w:sz w:val="24"/>
                      <w:lang/>
                    </w:rPr>
                    <w:br/>
                  </w:r>
                  <w:r>
                    <w:rPr>
                      <w:rFonts w:ascii="宋体" w:eastAsia="宋体" w:hAnsi="宋体" w:cs="宋体"/>
                      <w:color w:val="000000"/>
                      <w:kern w:val="0"/>
                      <w:sz w:val="24"/>
                      <w:lang/>
                    </w:rPr>
                    <w:t>（八）其他依法应当审核的内容。</w:t>
                  </w:r>
                  <w:r>
                    <w:rPr>
                      <w:rFonts w:ascii="宋体" w:eastAsia="宋体" w:hAnsi="宋体" w:cs="宋体"/>
                      <w:color w:val="000000"/>
                      <w:kern w:val="0"/>
                      <w:sz w:val="24"/>
                      <w:lang/>
                    </w:rPr>
                    <w:br/>
                  </w:r>
                  <w:r>
                    <w:rPr>
                      <w:rFonts w:ascii="宋体" w:eastAsia="宋体" w:hAnsi="宋体" w:cs="宋体"/>
                      <w:color w:val="000000"/>
                      <w:kern w:val="0"/>
                      <w:sz w:val="24"/>
                      <w:lang/>
                    </w:rPr>
                    <w:t>审核过程中遇有复杂问题的，经审计机关负责人同意后，审理机构可以组织专家进行论证。</w:t>
                  </w:r>
                </w:p>
              </w:tc>
            </w:tr>
            <w:tr w:rsidR="007C351A">
              <w:trPr>
                <w:trHeight w:val="600"/>
              </w:trPr>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center"/>
                    <w:textAlignment w:val="center"/>
                    <w:rPr>
                      <w:color w:val="000000"/>
                      <w:sz w:val="24"/>
                    </w:rPr>
                  </w:pPr>
                  <w:r>
                    <w:rPr>
                      <w:rFonts w:ascii="宋体" w:eastAsia="宋体" w:hAnsi="宋体" w:cs="宋体"/>
                      <w:color w:val="000000"/>
                      <w:kern w:val="0"/>
                      <w:sz w:val="24"/>
                      <w:lang/>
                    </w:rPr>
                    <w:t>2</w:t>
                  </w: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7C351A">
                  <w:pPr>
                    <w:jc w:val="center"/>
                    <w:rPr>
                      <w:rFonts w:ascii="宋体"/>
                      <w:color w:val="000000"/>
                      <w:sz w:val="24"/>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left"/>
                    <w:textAlignment w:val="center"/>
                    <w:rPr>
                      <w:color w:val="000000"/>
                      <w:sz w:val="24"/>
                    </w:rPr>
                  </w:pPr>
                  <w:r>
                    <w:rPr>
                      <w:rFonts w:ascii="宋体" w:eastAsia="宋体" w:hAnsi="宋体" w:cs="宋体"/>
                      <w:color w:val="000000"/>
                      <w:kern w:val="0"/>
                      <w:sz w:val="24"/>
                      <w:lang/>
                    </w:rPr>
                    <w:t>对违反国家规定的财政财务收支行为的处罚</w:t>
                  </w:r>
                </w:p>
              </w:tc>
              <w:tc>
                <w:tcPr>
                  <w:tcW w:w="3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7C351A">
                  <w:pPr>
                    <w:jc w:val="left"/>
                    <w:rPr>
                      <w:rFonts w:ascii="宋体"/>
                      <w:color w:val="000000"/>
                      <w:sz w:val="24"/>
                    </w:rPr>
                  </w:pPr>
                </w:p>
              </w:tc>
            </w:tr>
            <w:tr w:rsidR="007C351A">
              <w:trPr>
                <w:trHeight w:val="720"/>
              </w:trPr>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center"/>
                    <w:textAlignment w:val="center"/>
                    <w:rPr>
                      <w:color w:val="000000"/>
                      <w:sz w:val="24"/>
                    </w:rPr>
                  </w:pPr>
                  <w:r>
                    <w:rPr>
                      <w:rFonts w:ascii="宋体" w:eastAsia="宋体" w:hAnsi="宋体" w:cs="宋体"/>
                      <w:color w:val="000000"/>
                      <w:kern w:val="0"/>
                      <w:sz w:val="24"/>
                      <w:lang/>
                    </w:rPr>
                    <w:t>3</w:t>
                  </w: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center"/>
                    <w:textAlignment w:val="center"/>
                    <w:rPr>
                      <w:color w:val="000000"/>
                      <w:sz w:val="24"/>
                    </w:rPr>
                  </w:pPr>
                  <w:r>
                    <w:rPr>
                      <w:rFonts w:ascii="宋体" w:eastAsia="宋体" w:hAnsi="宋体" w:cs="宋体"/>
                      <w:color w:val="000000"/>
                      <w:kern w:val="0"/>
                      <w:sz w:val="24"/>
                      <w:lang/>
                    </w:rPr>
                    <w:t>行政强制</w:t>
                  </w: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left"/>
                    <w:textAlignment w:val="center"/>
                    <w:rPr>
                      <w:color w:val="000000"/>
                      <w:sz w:val="24"/>
                    </w:rPr>
                  </w:pPr>
                  <w:r>
                    <w:rPr>
                      <w:rFonts w:ascii="宋体" w:eastAsia="宋体" w:hAnsi="宋体" w:cs="宋体"/>
                      <w:color w:val="000000"/>
                      <w:kern w:val="0"/>
                      <w:sz w:val="24"/>
                      <w:lang/>
                    </w:rPr>
                    <w:t>制止封存权</w:t>
                  </w:r>
                </w:p>
              </w:tc>
              <w:tc>
                <w:tcPr>
                  <w:tcW w:w="3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7C351A">
                  <w:pPr>
                    <w:jc w:val="left"/>
                    <w:rPr>
                      <w:rFonts w:ascii="宋体"/>
                      <w:color w:val="000000"/>
                      <w:sz w:val="24"/>
                    </w:rPr>
                  </w:pPr>
                </w:p>
              </w:tc>
            </w:tr>
            <w:tr w:rsidR="007C351A">
              <w:trPr>
                <w:trHeight w:val="690"/>
              </w:trPr>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center"/>
                    <w:textAlignment w:val="center"/>
                    <w:rPr>
                      <w:color w:val="000000"/>
                      <w:sz w:val="24"/>
                    </w:rPr>
                  </w:pPr>
                  <w:r>
                    <w:rPr>
                      <w:rFonts w:ascii="宋体" w:eastAsia="宋体" w:hAnsi="宋体" w:cs="宋体"/>
                      <w:color w:val="000000"/>
                      <w:kern w:val="0"/>
                      <w:sz w:val="24"/>
                      <w:lang/>
                    </w:rPr>
                    <w:t>4</w:t>
                  </w: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7C351A">
                  <w:pPr>
                    <w:jc w:val="center"/>
                    <w:rPr>
                      <w:rFonts w:ascii="宋体"/>
                      <w:color w:val="000000"/>
                      <w:sz w:val="24"/>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left"/>
                    <w:textAlignment w:val="center"/>
                    <w:rPr>
                      <w:color w:val="000000"/>
                      <w:sz w:val="24"/>
                    </w:rPr>
                  </w:pPr>
                  <w:r>
                    <w:rPr>
                      <w:rFonts w:ascii="宋体" w:eastAsia="宋体" w:hAnsi="宋体" w:cs="宋体"/>
                      <w:color w:val="000000"/>
                      <w:kern w:val="0"/>
                      <w:sz w:val="24"/>
                      <w:lang/>
                    </w:rPr>
                    <w:t>暂停拨付与使用权</w:t>
                  </w:r>
                </w:p>
              </w:tc>
              <w:tc>
                <w:tcPr>
                  <w:tcW w:w="3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7C351A">
                  <w:pPr>
                    <w:jc w:val="left"/>
                    <w:rPr>
                      <w:rFonts w:ascii="宋体"/>
                      <w:color w:val="000000"/>
                      <w:sz w:val="24"/>
                    </w:rPr>
                  </w:pPr>
                </w:p>
              </w:tc>
            </w:tr>
            <w:tr w:rsidR="007C351A">
              <w:trPr>
                <w:trHeight w:val="1860"/>
              </w:trPr>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center"/>
                    <w:textAlignment w:val="center"/>
                    <w:rPr>
                      <w:color w:val="000000"/>
                      <w:sz w:val="24"/>
                    </w:rPr>
                  </w:pPr>
                  <w:r>
                    <w:rPr>
                      <w:rFonts w:ascii="宋体" w:eastAsia="宋体" w:hAnsi="宋体" w:cs="宋体"/>
                      <w:color w:val="000000"/>
                      <w:kern w:val="0"/>
                      <w:sz w:val="24"/>
                      <w:lang/>
                    </w:rPr>
                    <w:t>5</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center"/>
                    <w:textAlignment w:val="center"/>
                    <w:rPr>
                      <w:color w:val="000000"/>
                      <w:sz w:val="24"/>
                    </w:rPr>
                  </w:pPr>
                  <w:r>
                    <w:rPr>
                      <w:rFonts w:ascii="宋体" w:eastAsia="宋体" w:hAnsi="宋体" w:cs="宋体"/>
                      <w:color w:val="000000"/>
                      <w:kern w:val="0"/>
                      <w:sz w:val="24"/>
                      <w:lang/>
                    </w:rPr>
                    <w:t>审计处理</w:t>
                  </w: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left"/>
                    <w:textAlignment w:val="center"/>
                    <w:rPr>
                      <w:color w:val="000000"/>
                      <w:sz w:val="24"/>
                    </w:rPr>
                  </w:pPr>
                  <w:r>
                    <w:rPr>
                      <w:rFonts w:ascii="宋体" w:eastAsia="宋体" w:hAnsi="宋体" w:cs="宋体"/>
                      <w:color w:val="000000"/>
                      <w:kern w:val="0"/>
                      <w:sz w:val="24"/>
                      <w:lang/>
                    </w:rPr>
                    <w:t>（一）责令限期缴纳应当上缴的款项；</w:t>
                  </w:r>
                  <w:r>
                    <w:rPr>
                      <w:rFonts w:ascii="宋体" w:eastAsia="宋体" w:hAnsi="宋体" w:cs="宋体"/>
                      <w:color w:val="000000"/>
                      <w:kern w:val="0"/>
                      <w:sz w:val="24"/>
                      <w:lang/>
                    </w:rPr>
                    <w:br/>
                  </w:r>
                  <w:r>
                    <w:rPr>
                      <w:rFonts w:ascii="宋体" w:eastAsia="宋体" w:hAnsi="宋体" w:cs="宋体"/>
                      <w:color w:val="000000"/>
                      <w:kern w:val="0"/>
                      <w:sz w:val="24"/>
                      <w:lang/>
                    </w:rPr>
                    <w:t>（二）责令限期退还被侵占的国有资产；</w:t>
                  </w:r>
                  <w:r>
                    <w:rPr>
                      <w:rFonts w:ascii="宋体" w:eastAsia="宋体" w:hAnsi="宋体" w:cs="宋体"/>
                      <w:color w:val="000000"/>
                      <w:kern w:val="0"/>
                      <w:sz w:val="24"/>
                      <w:lang/>
                    </w:rPr>
                    <w:br/>
                  </w:r>
                  <w:r>
                    <w:rPr>
                      <w:rFonts w:ascii="宋体" w:eastAsia="宋体" w:hAnsi="宋体" w:cs="宋体"/>
                      <w:color w:val="000000"/>
                      <w:kern w:val="0"/>
                      <w:sz w:val="24"/>
                      <w:lang/>
                    </w:rPr>
                    <w:t>（三）责令限期退还违法所得；</w:t>
                  </w:r>
                  <w:r>
                    <w:rPr>
                      <w:rFonts w:ascii="宋体" w:eastAsia="宋体" w:hAnsi="宋体" w:cs="宋体"/>
                      <w:color w:val="000000"/>
                      <w:kern w:val="0"/>
                      <w:sz w:val="24"/>
                      <w:lang/>
                    </w:rPr>
                    <w:br/>
                  </w:r>
                  <w:r>
                    <w:rPr>
                      <w:rFonts w:ascii="宋体" w:eastAsia="宋体" w:hAnsi="宋体" w:cs="宋体"/>
                      <w:color w:val="000000"/>
                      <w:kern w:val="0"/>
                      <w:sz w:val="24"/>
                      <w:lang/>
                    </w:rPr>
                    <w:t>（四）责令按照国家统一的会计制度的有关规定进行处理；</w:t>
                  </w:r>
                  <w:r>
                    <w:rPr>
                      <w:rFonts w:ascii="宋体" w:eastAsia="宋体" w:hAnsi="宋体" w:cs="宋体"/>
                      <w:color w:val="000000"/>
                      <w:kern w:val="0"/>
                      <w:sz w:val="24"/>
                      <w:lang/>
                    </w:rPr>
                    <w:br/>
                  </w:r>
                  <w:r>
                    <w:rPr>
                      <w:rFonts w:ascii="宋体" w:eastAsia="宋体" w:hAnsi="宋体" w:cs="宋体"/>
                      <w:color w:val="000000"/>
                      <w:kern w:val="0"/>
                      <w:sz w:val="24"/>
                      <w:lang/>
                    </w:rPr>
                    <w:t>（五）其他需下达审计决定的处理措施。</w:t>
                  </w:r>
                </w:p>
              </w:tc>
              <w:tc>
                <w:tcPr>
                  <w:tcW w:w="3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7C351A">
                  <w:pPr>
                    <w:jc w:val="left"/>
                    <w:rPr>
                      <w:rFonts w:ascii="宋体"/>
                      <w:color w:val="000000"/>
                      <w:sz w:val="24"/>
                    </w:rPr>
                  </w:pPr>
                </w:p>
              </w:tc>
            </w:tr>
            <w:tr w:rsidR="007C351A">
              <w:trPr>
                <w:trHeight w:val="630"/>
              </w:trPr>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center"/>
                    <w:textAlignment w:val="center"/>
                    <w:rPr>
                      <w:color w:val="000000"/>
                      <w:sz w:val="24"/>
                    </w:rPr>
                  </w:pPr>
                  <w:r>
                    <w:rPr>
                      <w:rFonts w:ascii="宋体" w:eastAsia="宋体" w:hAnsi="宋体" w:cs="宋体"/>
                      <w:color w:val="000000"/>
                      <w:kern w:val="0"/>
                      <w:sz w:val="24"/>
                      <w:lang/>
                    </w:rPr>
                    <w:t>6</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center"/>
                    <w:textAlignment w:val="center"/>
                    <w:rPr>
                      <w:color w:val="000000"/>
                      <w:sz w:val="24"/>
                    </w:rPr>
                  </w:pPr>
                  <w:r>
                    <w:rPr>
                      <w:rFonts w:ascii="宋体" w:eastAsia="宋体" w:hAnsi="宋体" w:cs="宋体"/>
                      <w:color w:val="000000"/>
                      <w:kern w:val="0"/>
                      <w:sz w:val="24"/>
                      <w:lang/>
                    </w:rPr>
                    <w:t>审计监督</w:t>
                  </w: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left"/>
                    <w:textAlignment w:val="center"/>
                    <w:rPr>
                      <w:color w:val="000000"/>
                      <w:sz w:val="24"/>
                    </w:rPr>
                  </w:pPr>
                  <w:r>
                    <w:rPr>
                      <w:rFonts w:ascii="宋体" w:eastAsia="宋体" w:hAnsi="宋体" w:cs="宋体"/>
                      <w:color w:val="000000"/>
                      <w:kern w:val="0"/>
                      <w:sz w:val="24"/>
                      <w:lang/>
                    </w:rPr>
                    <w:t>拟作出审计移送处理决定</w:t>
                  </w:r>
                </w:p>
              </w:tc>
              <w:tc>
                <w:tcPr>
                  <w:tcW w:w="3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7C351A">
                  <w:pPr>
                    <w:jc w:val="left"/>
                    <w:rPr>
                      <w:rFonts w:ascii="宋体"/>
                      <w:color w:val="000000"/>
                      <w:sz w:val="24"/>
                    </w:rPr>
                  </w:pPr>
                </w:p>
              </w:tc>
            </w:tr>
            <w:tr w:rsidR="007C351A">
              <w:trPr>
                <w:trHeight w:val="540"/>
              </w:trPr>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center"/>
                    <w:textAlignment w:val="center"/>
                    <w:rPr>
                      <w:color w:val="000000"/>
                      <w:sz w:val="24"/>
                    </w:rPr>
                  </w:pPr>
                  <w:r>
                    <w:rPr>
                      <w:rFonts w:ascii="宋体" w:eastAsia="宋体" w:hAnsi="宋体" w:cs="宋体"/>
                      <w:color w:val="000000"/>
                      <w:kern w:val="0"/>
                      <w:sz w:val="24"/>
                      <w:lang/>
                    </w:rPr>
                    <w:t>7</w:t>
                  </w: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center"/>
                    <w:textAlignment w:val="center"/>
                    <w:rPr>
                      <w:color w:val="000000"/>
                      <w:sz w:val="24"/>
                    </w:rPr>
                  </w:pPr>
                  <w:r>
                    <w:rPr>
                      <w:rFonts w:ascii="宋体" w:eastAsia="宋体" w:hAnsi="宋体" w:cs="宋体"/>
                      <w:color w:val="000000"/>
                      <w:kern w:val="0"/>
                      <w:sz w:val="24"/>
                      <w:lang/>
                    </w:rPr>
                    <w:t>其他</w:t>
                  </w: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left"/>
                    <w:textAlignment w:val="center"/>
                    <w:rPr>
                      <w:color w:val="000000"/>
                      <w:sz w:val="24"/>
                    </w:rPr>
                  </w:pPr>
                  <w:r>
                    <w:rPr>
                      <w:rFonts w:ascii="宋体" w:eastAsia="宋体" w:hAnsi="宋体" w:cs="宋体"/>
                      <w:color w:val="000000"/>
                      <w:kern w:val="0"/>
                      <w:sz w:val="24"/>
                      <w:lang/>
                    </w:rPr>
                    <w:t>拟作出的其他重大、复杂、疑难处理处罚决定</w:t>
                  </w:r>
                </w:p>
              </w:tc>
              <w:tc>
                <w:tcPr>
                  <w:tcW w:w="3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7C351A">
                  <w:pPr>
                    <w:jc w:val="left"/>
                    <w:rPr>
                      <w:rFonts w:ascii="宋体"/>
                      <w:color w:val="000000"/>
                      <w:sz w:val="24"/>
                    </w:rPr>
                  </w:pPr>
                </w:p>
              </w:tc>
            </w:tr>
            <w:tr w:rsidR="007C351A">
              <w:trPr>
                <w:trHeight w:val="600"/>
              </w:trPr>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center"/>
                    <w:textAlignment w:val="center"/>
                    <w:rPr>
                      <w:color w:val="000000"/>
                      <w:sz w:val="24"/>
                    </w:rPr>
                  </w:pPr>
                  <w:r>
                    <w:rPr>
                      <w:rFonts w:ascii="宋体" w:eastAsia="宋体" w:hAnsi="宋体" w:cs="宋体"/>
                      <w:color w:val="000000"/>
                      <w:kern w:val="0"/>
                      <w:sz w:val="24"/>
                      <w:lang/>
                    </w:rPr>
                    <w:t>8</w:t>
                  </w: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7C351A">
                  <w:pPr>
                    <w:jc w:val="center"/>
                    <w:rPr>
                      <w:rFonts w:ascii="宋体"/>
                      <w:color w:val="000000"/>
                      <w:sz w:val="24"/>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586379">
                  <w:pPr>
                    <w:widowControl/>
                    <w:jc w:val="left"/>
                    <w:textAlignment w:val="center"/>
                    <w:rPr>
                      <w:color w:val="000000"/>
                      <w:sz w:val="24"/>
                    </w:rPr>
                  </w:pPr>
                  <w:r>
                    <w:rPr>
                      <w:rFonts w:ascii="宋体" w:eastAsia="宋体" w:hAnsi="宋体" w:cs="宋体"/>
                      <w:color w:val="000000"/>
                      <w:kern w:val="0"/>
                      <w:sz w:val="24"/>
                      <w:lang/>
                    </w:rPr>
                    <w:t>法律、法规、规章和上级行政机关规定应当进行法制审核的其他重大行政执法决定</w:t>
                  </w:r>
                </w:p>
              </w:tc>
              <w:tc>
                <w:tcPr>
                  <w:tcW w:w="3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351A" w:rsidRDefault="007C351A">
                  <w:pPr>
                    <w:jc w:val="left"/>
                    <w:rPr>
                      <w:rFonts w:ascii="宋体"/>
                      <w:color w:val="000000"/>
                      <w:sz w:val="24"/>
                    </w:rPr>
                  </w:pPr>
                </w:p>
              </w:tc>
            </w:tr>
          </w:tbl>
          <w:p w:rsidR="007C351A" w:rsidRDefault="007C351A">
            <w:pPr>
              <w:jc w:val="center"/>
              <w:textAlignment w:val="center"/>
            </w:pPr>
          </w:p>
        </w:tc>
      </w:tr>
    </w:tbl>
    <w:p w:rsidR="007C351A" w:rsidRDefault="007C351A"/>
    <w:sectPr w:rsidR="007C351A" w:rsidSect="001D7475">
      <w:pgSz w:w="16838" w:h="11906" w:orient="landscape"/>
      <w:pgMar w:top="851" w:right="1474" w:bottom="85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379" w:rsidRDefault="00586379" w:rsidP="003A57D7">
      <w:r>
        <w:separator/>
      </w:r>
    </w:p>
  </w:endnote>
  <w:endnote w:type="continuationSeparator" w:id="1">
    <w:p w:rsidR="00586379" w:rsidRDefault="00586379" w:rsidP="003A57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379" w:rsidRDefault="00586379" w:rsidP="003A57D7">
      <w:r>
        <w:separator/>
      </w:r>
    </w:p>
  </w:footnote>
  <w:footnote w:type="continuationSeparator" w:id="1">
    <w:p w:rsidR="00586379" w:rsidRDefault="00586379" w:rsidP="003A57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13940B12"/>
    <w:rsid w:val="001D7475"/>
    <w:rsid w:val="003A57D7"/>
    <w:rsid w:val="00586379"/>
    <w:rsid w:val="00751A9B"/>
    <w:rsid w:val="007C351A"/>
    <w:rsid w:val="00E91623"/>
    <w:rsid w:val="13940B12"/>
    <w:rsid w:val="1BD827CE"/>
    <w:rsid w:val="46037596"/>
    <w:rsid w:val="77EE2B7B"/>
    <w:rsid w:val="78DF53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351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A57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A57D7"/>
    <w:rPr>
      <w:rFonts w:asciiTheme="minorHAnsi" w:eastAsiaTheme="minorEastAsia" w:hAnsiTheme="minorHAnsi" w:cstheme="minorBidi"/>
      <w:kern w:val="2"/>
      <w:sz w:val="18"/>
      <w:szCs w:val="18"/>
    </w:rPr>
  </w:style>
  <w:style w:type="paragraph" w:styleId="a4">
    <w:name w:val="footer"/>
    <w:basedOn w:val="a"/>
    <w:link w:val="Char0"/>
    <w:rsid w:val="003A57D7"/>
    <w:pPr>
      <w:tabs>
        <w:tab w:val="center" w:pos="4153"/>
        <w:tab w:val="right" w:pos="8306"/>
      </w:tabs>
      <w:snapToGrid w:val="0"/>
      <w:jc w:val="left"/>
    </w:pPr>
    <w:rPr>
      <w:sz w:val="18"/>
      <w:szCs w:val="18"/>
    </w:rPr>
  </w:style>
  <w:style w:type="character" w:customStyle="1" w:styleId="Char0">
    <w:name w:val="页脚 Char"/>
    <w:basedOn w:val="a0"/>
    <w:link w:val="a4"/>
    <w:rsid w:val="003A57D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474</Characters>
  <Application>Microsoft Office Word</Application>
  <DocSecurity>0</DocSecurity>
  <Lines>3</Lines>
  <Paragraphs>1</Paragraphs>
  <ScaleCrop>false</ScaleCrop>
  <Company>microsoft</Company>
  <LinksUpToDate>false</LinksUpToDate>
  <CharactersWithSpaces>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5</cp:revision>
  <dcterms:created xsi:type="dcterms:W3CDTF">2017-09-19T01:48:00Z</dcterms:created>
  <dcterms:modified xsi:type="dcterms:W3CDTF">2019-12-04T07:51:00Z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